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CellSpacing w:w="0" w:type="dxa"/>
        <w:tblCellMar>
          <w:top w:w="15" w:type="dxa"/>
          <w:left w:w="15" w:type="dxa"/>
          <w:bottom w:w="15" w:type="dxa"/>
          <w:right w:w="15" w:type="dxa"/>
        </w:tblCellMar>
        <w:tblLook w:val="04A0"/>
      </w:tblPr>
      <w:tblGrid>
        <w:gridCol w:w="1933"/>
        <w:gridCol w:w="5801"/>
        <w:gridCol w:w="1934"/>
      </w:tblGrid>
      <w:tr w:rsidR="002C5BC6" w:rsidRPr="002C5BC6" w:rsidTr="002C5BC6">
        <w:trPr>
          <w:tblCellSpacing w:w="0" w:type="dxa"/>
        </w:trPr>
        <w:tc>
          <w:tcPr>
            <w:tcW w:w="1000" w:type="pct"/>
            <w:vAlign w:val="center"/>
            <w:hideMark/>
          </w:tcPr>
          <w:p w:rsidR="002C5BC6" w:rsidRPr="002C5BC6" w:rsidRDefault="002C5BC6" w:rsidP="002C5BC6">
            <w:pPr>
              <w:spacing w:after="0" w:line="240" w:lineRule="auto"/>
              <w:rPr>
                <w:rFonts w:ascii="Times New Roman" w:eastAsia="Times New Roman" w:hAnsi="Times New Roman" w:cs="Times New Roman"/>
                <w:sz w:val="24"/>
                <w:szCs w:val="24"/>
                <w:lang w:eastAsia="it-IT"/>
              </w:rPr>
            </w:pPr>
          </w:p>
        </w:tc>
        <w:tc>
          <w:tcPr>
            <w:tcW w:w="0" w:type="auto"/>
            <w:hideMark/>
          </w:tcPr>
          <w:p w:rsidR="002C5BC6" w:rsidRPr="002C5BC6" w:rsidRDefault="002C5BC6" w:rsidP="002C5BC6">
            <w:pPr>
              <w:spacing w:before="100" w:beforeAutospacing="1" w:after="100" w:afterAutospacing="1" w:line="240" w:lineRule="auto"/>
              <w:jc w:val="center"/>
              <w:rPr>
                <w:rFonts w:ascii="Times New Roman" w:eastAsia="Times New Roman" w:hAnsi="Times New Roman" w:cs="Times New Roman"/>
                <w:sz w:val="24"/>
                <w:szCs w:val="24"/>
                <w:lang w:eastAsia="it-IT"/>
              </w:rPr>
            </w:pPr>
            <w:r>
              <w:rPr>
                <w:rFonts w:ascii="Times New Roman" w:eastAsia="Times New Roman" w:hAnsi="Times New Roman" w:cs="Times New Roman"/>
                <w:noProof/>
                <w:sz w:val="24"/>
                <w:szCs w:val="24"/>
                <w:lang w:eastAsia="it-IT"/>
              </w:rPr>
              <w:drawing>
                <wp:inline distT="0" distB="0" distL="0" distR="0">
                  <wp:extent cx="3333750" cy="266700"/>
                  <wp:effectExtent l="19050" t="0" r="0" b="0"/>
                  <wp:docPr id="1" name="Immagine 1" descr="http://www.parlamento.it/leggi/scr_par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parlamento.it/leggi/scr_parl.gif"/>
                          <pic:cNvPicPr>
                            <a:picLocks noChangeAspect="1" noChangeArrowheads="1"/>
                          </pic:cNvPicPr>
                        </pic:nvPicPr>
                        <pic:blipFill>
                          <a:blip r:embed="rId4"/>
                          <a:srcRect/>
                          <a:stretch>
                            <a:fillRect/>
                          </a:stretch>
                        </pic:blipFill>
                        <pic:spPr bwMode="auto">
                          <a:xfrm>
                            <a:off x="0" y="0"/>
                            <a:ext cx="3333750" cy="266700"/>
                          </a:xfrm>
                          <a:prstGeom prst="rect">
                            <a:avLst/>
                          </a:prstGeom>
                          <a:noFill/>
                          <a:ln w="9525">
                            <a:noFill/>
                            <a:miter lim="800000"/>
                            <a:headEnd/>
                            <a:tailEnd/>
                          </a:ln>
                        </pic:spPr>
                      </pic:pic>
                    </a:graphicData>
                  </a:graphic>
                </wp:inline>
              </w:drawing>
            </w:r>
          </w:p>
        </w:tc>
        <w:tc>
          <w:tcPr>
            <w:tcW w:w="1000" w:type="pct"/>
            <w:hideMark/>
          </w:tcPr>
          <w:p w:rsidR="002C5BC6" w:rsidRPr="002C5BC6" w:rsidRDefault="002C5BC6" w:rsidP="002C5BC6">
            <w:pPr>
              <w:spacing w:before="100" w:beforeAutospacing="1" w:after="100" w:afterAutospacing="1" w:line="240" w:lineRule="auto"/>
              <w:jc w:val="center"/>
              <w:rPr>
                <w:rFonts w:ascii="Times New Roman" w:eastAsia="Times New Roman" w:hAnsi="Times New Roman" w:cs="Times New Roman"/>
                <w:sz w:val="24"/>
                <w:szCs w:val="24"/>
                <w:lang w:eastAsia="it-IT"/>
              </w:rPr>
            </w:pPr>
            <w:r>
              <w:rPr>
                <w:rFonts w:ascii="Times New Roman" w:eastAsia="Times New Roman" w:hAnsi="Times New Roman" w:cs="Times New Roman"/>
                <w:noProof/>
                <w:color w:val="0000FF"/>
                <w:sz w:val="24"/>
                <w:szCs w:val="24"/>
                <w:lang w:eastAsia="it-IT"/>
              </w:rPr>
              <w:drawing>
                <wp:inline distT="0" distB="0" distL="0" distR="0">
                  <wp:extent cx="276225" cy="266700"/>
                  <wp:effectExtent l="19050" t="0" r="9525" b="0"/>
                  <wp:docPr id="2" name="Immagine 2" descr="Indici  delle leggi">
                    <a:hlinkClick xmlns:a="http://schemas.openxmlformats.org/drawingml/2006/main" r:id="rId5" tgtFrame="&quot;_top&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ndici  delle leggi">
                            <a:hlinkClick r:id="rId5" tgtFrame="&quot;_top&quot;"/>
                          </pic:cNvPr>
                          <pic:cNvPicPr>
                            <a:picLocks noChangeAspect="1" noChangeArrowheads="1"/>
                          </pic:cNvPicPr>
                        </pic:nvPicPr>
                        <pic:blipFill>
                          <a:blip r:embed="rId6"/>
                          <a:srcRect/>
                          <a:stretch>
                            <a:fillRect/>
                          </a:stretch>
                        </pic:blipFill>
                        <pic:spPr bwMode="auto">
                          <a:xfrm>
                            <a:off x="0" y="0"/>
                            <a:ext cx="276225" cy="266700"/>
                          </a:xfrm>
                          <a:prstGeom prst="rect">
                            <a:avLst/>
                          </a:prstGeom>
                          <a:noFill/>
                          <a:ln w="9525">
                            <a:noFill/>
                            <a:miter lim="800000"/>
                            <a:headEnd/>
                            <a:tailEnd/>
                          </a:ln>
                        </pic:spPr>
                      </pic:pic>
                    </a:graphicData>
                  </a:graphic>
                </wp:inline>
              </w:drawing>
            </w:r>
            <w:r w:rsidRPr="002C5BC6">
              <w:rPr>
                <w:rFonts w:ascii="Times New Roman" w:eastAsia="Times New Roman" w:hAnsi="Times New Roman" w:cs="Times New Roman"/>
                <w:sz w:val="24"/>
                <w:szCs w:val="24"/>
                <w:lang w:eastAsia="it-IT"/>
              </w:rPr>
              <w:br/>
            </w:r>
            <w:hyperlink r:id="rId7" w:tgtFrame="_top" w:history="1">
              <w:r w:rsidRPr="002C5BC6">
                <w:rPr>
                  <w:rFonts w:ascii="Times New Roman" w:eastAsia="Times New Roman" w:hAnsi="Times New Roman" w:cs="Times New Roman"/>
                  <w:i/>
                  <w:iCs/>
                  <w:color w:val="0000FF"/>
                  <w:sz w:val="20"/>
                  <w:u w:val="single"/>
                  <w:lang w:eastAsia="it-IT"/>
                </w:rPr>
                <w:t xml:space="preserve">Indici delle leggi </w:t>
              </w:r>
            </w:hyperlink>
          </w:p>
        </w:tc>
      </w:tr>
    </w:tbl>
    <w:p w:rsidR="002C5BC6" w:rsidRPr="002C5BC6" w:rsidRDefault="002C5BC6" w:rsidP="002C5BC6">
      <w:pPr>
        <w:spacing w:before="100" w:beforeAutospacing="1" w:after="100" w:afterAutospacing="1" w:line="240" w:lineRule="auto"/>
        <w:jc w:val="center"/>
        <w:rPr>
          <w:rFonts w:ascii="Times New Roman" w:eastAsia="Times New Roman" w:hAnsi="Times New Roman" w:cs="Times New Roman"/>
          <w:sz w:val="24"/>
          <w:szCs w:val="24"/>
          <w:lang w:eastAsia="it-IT"/>
        </w:rPr>
      </w:pPr>
      <w:r>
        <w:rPr>
          <w:rFonts w:ascii="Times New Roman" w:eastAsia="Times New Roman" w:hAnsi="Times New Roman" w:cs="Times New Roman"/>
          <w:noProof/>
          <w:sz w:val="24"/>
          <w:szCs w:val="24"/>
          <w:lang w:eastAsia="it-IT"/>
        </w:rPr>
        <w:drawing>
          <wp:inline distT="0" distB="0" distL="0" distR="0">
            <wp:extent cx="6105525" cy="28575"/>
            <wp:effectExtent l="19050" t="0" r="9525" b="0"/>
            <wp:docPr id="3" name="Immagine 3" descr="http://www.parlamento.it/leggi/barrai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parlamento.it/leggi/barrait.gif"/>
                    <pic:cNvPicPr>
                      <a:picLocks noChangeAspect="1" noChangeArrowheads="1"/>
                    </pic:cNvPicPr>
                  </pic:nvPicPr>
                  <pic:blipFill>
                    <a:blip r:embed="rId8"/>
                    <a:srcRect/>
                    <a:stretch>
                      <a:fillRect/>
                    </a:stretch>
                  </pic:blipFill>
                  <pic:spPr bwMode="auto">
                    <a:xfrm>
                      <a:off x="0" y="0"/>
                      <a:ext cx="6105525" cy="28575"/>
                    </a:xfrm>
                    <a:prstGeom prst="rect">
                      <a:avLst/>
                    </a:prstGeom>
                    <a:noFill/>
                    <a:ln w="9525">
                      <a:noFill/>
                      <a:miter lim="800000"/>
                      <a:headEnd/>
                      <a:tailEnd/>
                    </a:ln>
                  </pic:spPr>
                </pic:pic>
              </a:graphicData>
            </a:graphic>
          </wp:inline>
        </w:drawing>
      </w:r>
    </w:p>
    <w:p w:rsidR="002C5BC6" w:rsidRPr="002C5BC6" w:rsidRDefault="002C5BC6" w:rsidP="002C5BC6">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2C5BC6">
        <w:rPr>
          <w:rFonts w:ascii="Times New Roman" w:eastAsia="Times New Roman" w:hAnsi="Times New Roman" w:cs="Times New Roman"/>
          <w:sz w:val="27"/>
          <w:szCs w:val="27"/>
          <w:lang w:eastAsia="it-IT"/>
        </w:rPr>
        <w:t>Legge 10 agosto 2000, n. 251</w:t>
      </w:r>
      <w:r w:rsidRPr="002C5BC6">
        <w:rPr>
          <w:rFonts w:ascii="Times New Roman" w:eastAsia="Times New Roman" w:hAnsi="Times New Roman" w:cs="Times New Roman"/>
          <w:sz w:val="24"/>
          <w:szCs w:val="24"/>
          <w:lang w:eastAsia="it-IT"/>
        </w:rPr>
        <w:t xml:space="preserve"> </w:t>
      </w:r>
    </w:p>
    <w:p w:rsidR="002C5BC6" w:rsidRPr="002C5BC6" w:rsidRDefault="002C5BC6" w:rsidP="002C5BC6">
      <w:pPr>
        <w:spacing w:before="100" w:beforeAutospacing="1" w:after="100" w:afterAutospacing="1" w:line="240" w:lineRule="auto"/>
        <w:jc w:val="center"/>
        <w:rPr>
          <w:rFonts w:ascii="Times New Roman" w:eastAsia="Times New Roman" w:hAnsi="Times New Roman" w:cs="Times New Roman"/>
          <w:sz w:val="27"/>
          <w:szCs w:val="27"/>
          <w:lang w:eastAsia="it-IT"/>
        </w:rPr>
      </w:pPr>
      <w:r w:rsidRPr="002C5BC6">
        <w:rPr>
          <w:rFonts w:ascii="Times New Roman" w:eastAsia="Times New Roman" w:hAnsi="Times New Roman" w:cs="Times New Roman"/>
          <w:b/>
          <w:bCs/>
          <w:sz w:val="27"/>
          <w:szCs w:val="27"/>
          <w:lang w:eastAsia="it-IT"/>
        </w:rPr>
        <w:t>"</w:t>
      </w:r>
      <w:r w:rsidRPr="002C5BC6">
        <w:rPr>
          <w:rFonts w:ascii="Times New Roman" w:eastAsia="Times New Roman" w:hAnsi="Times New Roman" w:cs="Times New Roman"/>
          <w:sz w:val="27"/>
          <w:szCs w:val="27"/>
          <w:lang w:eastAsia="it-IT"/>
        </w:rPr>
        <w:t>Disciplina delle professioni sanitarie infermieristiche, tecniche, della riabilitazione, della prevenzione nonchè della professione ostetrica</w:t>
      </w:r>
      <w:r w:rsidRPr="002C5BC6">
        <w:rPr>
          <w:rFonts w:ascii="Times New Roman" w:eastAsia="Times New Roman" w:hAnsi="Times New Roman" w:cs="Times New Roman"/>
          <w:b/>
          <w:bCs/>
          <w:sz w:val="27"/>
          <w:szCs w:val="27"/>
          <w:lang w:eastAsia="it-IT"/>
        </w:rPr>
        <w:t>"</w:t>
      </w:r>
    </w:p>
    <w:p w:rsidR="002C5BC6" w:rsidRPr="002C5BC6" w:rsidRDefault="002C5BC6" w:rsidP="002C5BC6">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2C5BC6">
        <w:rPr>
          <w:rFonts w:ascii="Times New Roman" w:eastAsia="Times New Roman" w:hAnsi="Times New Roman" w:cs="Times New Roman"/>
          <w:i/>
          <w:iCs/>
          <w:sz w:val="24"/>
          <w:szCs w:val="24"/>
          <w:lang w:eastAsia="it-IT"/>
        </w:rPr>
        <w:t>(Pubblicata nella Gazzetta Ufficiale n. 208 del 6 settembre 2000) </w:t>
      </w:r>
    </w:p>
    <w:p w:rsidR="002C5BC6" w:rsidRPr="002C5BC6" w:rsidRDefault="002C5BC6" w:rsidP="002C5BC6">
      <w:pPr>
        <w:spacing w:before="100" w:beforeAutospacing="1" w:after="100" w:afterAutospacing="1" w:line="240" w:lineRule="auto"/>
        <w:rPr>
          <w:rFonts w:ascii="Times New Roman" w:eastAsia="Times New Roman" w:hAnsi="Times New Roman" w:cs="Times New Roman"/>
          <w:sz w:val="24"/>
          <w:szCs w:val="24"/>
          <w:lang w:eastAsia="it-IT"/>
        </w:rPr>
      </w:pPr>
      <w:r w:rsidRPr="002C5BC6">
        <w:rPr>
          <w:rFonts w:ascii="Times New Roman" w:eastAsia="Times New Roman" w:hAnsi="Times New Roman" w:cs="Times New Roman"/>
          <w:sz w:val="24"/>
          <w:szCs w:val="24"/>
          <w:lang w:eastAsia="it-IT"/>
        </w:rPr>
        <w:t> </w:t>
      </w:r>
    </w:p>
    <w:p w:rsidR="002C5BC6" w:rsidRPr="002C5BC6" w:rsidRDefault="002C5BC6" w:rsidP="002C5BC6">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2C5BC6">
        <w:rPr>
          <w:rFonts w:ascii="Times New Roman" w:eastAsia="Times New Roman" w:hAnsi="Times New Roman" w:cs="Times New Roman"/>
          <w:sz w:val="24"/>
          <w:szCs w:val="24"/>
          <w:lang w:eastAsia="it-IT"/>
        </w:rPr>
        <w:t>Art. 1.</w:t>
      </w:r>
    </w:p>
    <w:p w:rsidR="002C5BC6" w:rsidRPr="002C5BC6" w:rsidRDefault="002C5BC6" w:rsidP="002C5BC6">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2C5BC6">
        <w:rPr>
          <w:rFonts w:ascii="Times New Roman" w:eastAsia="Times New Roman" w:hAnsi="Times New Roman" w:cs="Times New Roman"/>
          <w:i/>
          <w:iCs/>
          <w:sz w:val="24"/>
          <w:szCs w:val="24"/>
          <w:lang w:eastAsia="it-IT"/>
        </w:rPr>
        <w:t>(Professioni sanitarie infermieristiche</w:t>
      </w:r>
      <w:r w:rsidRPr="002C5BC6">
        <w:rPr>
          <w:rFonts w:ascii="Times New Roman" w:eastAsia="Times New Roman" w:hAnsi="Times New Roman" w:cs="Times New Roman"/>
          <w:i/>
          <w:iCs/>
          <w:sz w:val="24"/>
          <w:szCs w:val="24"/>
          <w:lang w:eastAsia="it-IT"/>
        </w:rPr>
        <w:br/>
        <w:t>e professione sanitaria ostetrica)</w:t>
      </w:r>
    </w:p>
    <w:p w:rsidR="002C5BC6" w:rsidRPr="002C5BC6" w:rsidRDefault="002C5BC6" w:rsidP="002C5BC6">
      <w:pPr>
        <w:spacing w:before="100" w:beforeAutospacing="1" w:after="100" w:afterAutospacing="1" w:line="240" w:lineRule="auto"/>
        <w:rPr>
          <w:rFonts w:ascii="Times New Roman" w:eastAsia="Times New Roman" w:hAnsi="Times New Roman" w:cs="Times New Roman"/>
          <w:sz w:val="24"/>
          <w:szCs w:val="24"/>
          <w:lang w:eastAsia="it-IT"/>
        </w:rPr>
      </w:pPr>
      <w:r w:rsidRPr="002C5BC6">
        <w:rPr>
          <w:rFonts w:ascii="Times New Roman" w:eastAsia="Times New Roman" w:hAnsi="Times New Roman" w:cs="Times New Roman"/>
          <w:sz w:val="24"/>
          <w:szCs w:val="24"/>
          <w:lang w:eastAsia="it-IT"/>
        </w:rPr>
        <w:t>    1.  Gli operatori delle professioni sanitarie dell’area delle scienze infermieristiche e della professione sanitaria ostetrica svolgono con autonomia professionale attività dirette alla prevenzione, alla cura e salvaguardia della salute individuale e collettiva, espletando le funzioni individuate dalle norme istitutive dei relativi profili professionali nonchè dagli specifici codici deontologici ed utilizzando metodologie di pianificazione per obiettivi dell’assistenza.</w:t>
      </w:r>
    </w:p>
    <w:p w:rsidR="002C5BC6" w:rsidRPr="002C5BC6" w:rsidRDefault="002C5BC6" w:rsidP="002C5BC6">
      <w:pPr>
        <w:spacing w:before="100" w:beforeAutospacing="1" w:after="100" w:afterAutospacing="1" w:line="240" w:lineRule="auto"/>
        <w:rPr>
          <w:rFonts w:ascii="Times New Roman" w:eastAsia="Times New Roman" w:hAnsi="Times New Roman" w:cs="Times New Roman"/>
          <w:sz w:val="24"/>
          <w:szCs w:val="24"/>
          <w:lang w:eastAsia="it-IT"/>
        </w:rPr>
      </w:pPr>
      <w:r w:rsidRPr="002C5BC6">
        <w:rPr>
          <w:rFonts w:ascii="Times New Roman" w:eastAsia="Times New Roman" w:hAnsi="Times New Roman" w:cs="Times New Roman"/>
          <w:sz w:val="24"/>
          <w:szCs w:val="24"/>
          <w:lang w:eastAsia="it-IT"/>
        </w:rPr>
        <w:t>    2.  Lo Stato e le regioni promuovono, nell’esercizio delle proprie funzioni legislative, di indirizzo, di programmazione ed amministrative, la valorizzazione e la responsabilizzazione delle funzioni e del ruolo delle professioni infermieristico-ostetriche al fine di contribuire alla realizzazione del diritto alla salute, al processo di aziendalizzazione nel Servizio sanitario nazionale, all’integrazione dell’organizzazione del lavoro della sanità in Italia con quelle degli altri Stati dell’Unione europea.</w:t>
      </w:r>
      <w:r w:rsidRPr="002C5BC6">
        <w:rPr>
          <w:rFonts w:ascii="Times New Roman" w:eastAsia="Times New Roman" w:hAnsi="Times New Roman" w:cs="Times New Roman"/>
          <w:sz w:val="24"/>
          <w:szCs w:val="24"/>
          <w:lang w:eastAsia="it-IT"/>
        </w:rPr>
        <w:br/>
        <w:t>    3.  Il Ministero della sanità, previo parere della Conferenza permanente per i rapporti tra lo Stato, le regioni e le province autonome di Trento e di Bolzano, emana linee guida per:</w:t>
      </w:r>
    </w:p>
    <w:p w:rsidR="002C5BC6" w:rsidRPr="002C5BC6" w:rsidRDefault="002C5BC6" w:rsidP="002C5BC6">
      <w:pPr>
        <w:spacing w:before="100" w:beforeAutospacing="1" w:after="100" w:afterAutospacing="1" w:line="240" w:lineRule="auto"/>
        <w:rPr>
          <w:rFonts w:ascii="Times New Roman" w:eastAsia="Times New Roman" w:hAnsi="Times New Roman" w:cs="Times New Roman"/>
          <w:sz w:val="24"/>
          <w:szCs w:val="24"/>
          <w:lang w:eastAsia="it-IT"/>
        </w:rPr>
      </w:pPr>
      <w:r w:rsidRPr="002C5BC6">
        <w:rPr>
          <w:rFonts w:ascii="Times New Roman" w:eastAsia="Times New Roman" w:hAnsi="Times New Roman" w:cs="Times New Roman"/>
          <w:sz w:val="24"/>
          <w:szCs w:val="24"/>
          <w:lang w:eastAsia="it-IT"/>
        </w:rPr>
        <w:t>        </w:t>
      </w:r>
      <w:r w:rsidRPr="002C5BC6">
        <w:rPr>
          <w:rFonts w:ascii="Times New Roman" w:eastAsia="Times New Roman" w:hAnsi="Times New Roman" w:cs="Times New Roman"/>
          <w:i/>
          <w:iCs/>
          <w:sz w:val="24"/>
          <w:szCs w:val="24"/>
          <w:lang w:eastAsia="it-IT"/>
        </w:rPr>
        <w:t>a)</w:t>
      </w:r>
      <w:r w:rsidRPr="002C5BC6">
        <w:rPr>
          <w:rFonts w:ascii="Times New Roman" w:eastAsia="Times New Roman" w:hAnsi="Times New Roman" w:cs="Times New Roman"/>
          <w:sz w:val="24"/>
          <w:szCs w:val="24"/>
          <w:lang w:eastAsia="it-IT"/>
        </w:rPr>
        <w:t xml:space="preserve"> l’attribuzione in tutte le aziende sanitarie della diretta responsabilità e gestione delle attività di assistenza infermieristica e delle connesse funzioni;</w:t>
      </w:r>
    </w:p>
    <w:p w:rsidR="002C5BC6" w:rsidRPr="002C5BC6" w:rsidRDefault="002C5BC6" w:rsidP="002C5BC6">
      <w:pPr>
        <w:spacing w:before="100" w:beforeAutospacing="1" w:after="100" w:afterAutospacing="1" w:line="240" w:lineRule="auto"/>
        <w:rPr>
          <w:rFonts w:ascii="Times New Roman" w:eastAsia="Times New Roman" w:hAnsi="Times New Roman" w:cs="Times New Roman"/>
          <w:sz w:val="24"/>
          <w:szCs w:val="24"/>
          <w:lang w:eastAsia="it-IT"/>
        </w:rPr>
      </w:pPr>
      <w:r w:rsidRPr="002C5BC6">
        <w:rPr>
          <w:rFonts w:ascii="Times New Roman" w:eastAsia="Times New Roman" w:hAnsi="Times New Roman" w:cs="Times New Roman"/>
          <w:i/>
          <w:iCs/>
          <w:sz w:val="24"/>
          <w:szCs w:val="24"/>
          <w:lang w:eastAsia="it-IT"/>
        </w:rPr>
        <w:t>        b)</w:t>
      </w:r>
      <w:r w:rsidRPr="002C5BC6">
        <w:rPr>
          <w:rFonts w:ascii="Times New Roman" w:eastAsia="Times New Roman" w:hAnsi="Times New Roman" w:cs="Times New Roman"/>
          <w:sz w:val="24"/>
          <w:szCs w:val="24"/>
          <w:lang w:eastAsia="it-IT"/>
        </w:rPr>
        <w:t xml:space="preserve"> la revisione dell’organizzazione del lavoro, incentivando modelli di assistenza personalizzata.</w:t>
      </w:r>
    </w:p>
    <w:p w:rsidR="002C5BC6" w:rsidRPr="002C5BC6" w:rsidRDefault="002C5BC6" w:rsidP="002C5BC6">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2C5BC6">
        <w:rPr>
          <w:rFonts w:ascii="Times New Roman" w:eastAsia="Times New Roman" w:hAnsi="Times New Roman" w:cs="Times New Roman"/>
          <w:sz w:val="24"/>
          <w:szCs w:val="24"/>
          <w:lang w:eastAsia="it-IT"/>
        </w:rPr>
        <w:t>Art. 2.</w:t>
      </w:r>
    </w:p>
    <w:p w:rsidR="002C5BC6" w:rsidRPr="002C5BC6" w:rsidRDefault="002C5BC6" w:rsidP="002C5BC6">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2C5BC6">
        <w:rPr>
          <w:rFonts w:ascii="Times New Roman" w:eastAsia="Times New Roman" w:hAnsi="Times New Roman" w:cs="Times New Roman"/>
          <w:i/>
          <w:iCs/>
          <w:sz w:val="24"/>
          <w:szCs w:val="24"/>
          <w:lang w:eastAsia="it-IT"/>
        </w:rPr>
        <w:t>(Professioni sanitarie riabilitative)</w:t>
      </w:r>
    </w:p>
    <w:p w:rsidR="002C5BC6" w:rsidRPr="002C5BC6" w:rsidRDefault="002C5BC6" w:rsidP="002C5BC6">
      <w:pPr>
        <w:spacing w:before="100" w:beforeAutospacing="1" w:after="100" w:afterAutospacing="1" w:line="240" w:lineRule="auto"/>
        <w:rPr>
          <w:rFonts w:ascii="Times New Roman" w:eastAsia="Times New Roman" w:hAnsi="Times New Roman" w:cs="Times New Roman"/>
          <w:sz w:val="24"/>
          <w:szCs w:val="24"/>
          <w:lang w:eastAsia="it-IT"/>
        </w:rPr>
      </w:pPr>
      <w:r w:rsidRPr="002C5BC6">
        <w:rPr>
          <w:rFonts w:ascii="Times New Roman" w:eastAsia="Times New Roman" w:hAnsi="Times New Roman" w:cs="Times New Roman"/>
          <w:sz w:val="24"/>
          <w:szCs w:val="24"/>
          <w:lang w:eastAsia="it-IT"/>
        </w:rPr>
        <w:t>    1. Gli operatori delle professioni sanitarie dell’area della riabilitazione svolgono con titolarità e autonomia professionale, nei confronti dei singoli individui e della collettività, attività dirette alla prevenzione, alla cura, alla riabilitazione e a procedure di valutazione funzionale, al fine di espletare le competenze proprie previste dai relativi profili professionali.</w:t>
      </w:r>
    </w:p>
    <w:p w:rsidR="002C5BC6" w:rsidRPr="002C5BC6" w:rsidRDefault="002C5BC6" w:rsidP="002C5BC6">
      <w:pPr>
        <w:spacing w:before="100" w:beforeAutospacing="1" w:after="100" w:afterAutospacing="1" w:line="240" w:lineRule="auto"/>
        <w:rPr>
          <w:rFonts w:ascii="Times New Roman" w:eastAsia="Times New Roman" w:hAnsi="Times New Roman" w:cs="Times New Roman"/>
          <w:sz w:val="24"/>
          <w:szCs w:val="24"/>
          <w:lang w:eastAsia="it-IT"/>
        </w:rPr>
      </w:pPr>
      <w:r w:rsidRPr="002C5BC6">
        <w:rPr>
          <w:rFonts w:ascii="Times New Roman" w:eastAsia="Times New Roman" w:hAnsi="Times New Roman" w:cs="Times New Roman"/>
          <w:sz w:val="24"/>
          <w:szCs w:val="24"/>
          <w:lang w:eastAsia="it-IT"/>
        </w:rPr>
        <w:lastRenderedPageBreak/>
        <w:t>    2. Lo Stato e le regioni promuovono, nell’esercizio delle proprie funzioni legislative, di indirizzo, di programmazione ed amministrative, lo sviluppo e la valorizzazione delle funzioni delle professioni sanitarie dell’area della riabilitazione, al fine di contribuire, anche attraverso la diretta responsabilizzazione di funzioni organizzative e didattiche, alla realizzazione del diritto alla salute del cittadino, al processo di aziendalizzazione e al miglioramento della qualità organizzativa e professionale nel Servizio sanitario nazionale, con l’obiettivo di una integrazione omogenea con i servizi sanitari e gli ordinamenti degli altri Stati dell’Unione europea.</w:t>
      </w:r>
    </w:p>
    <w:p w:rsidR="002C5BC6" w:rsidRPr="002C5BC6" w:rsidRDefault="002C5BC6" w:rsidP="002C5BC6">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2C5BC6">
        <w:rPr>
          <w:rFonts w:ascii="Times New Roman" w:eastAsia="Times New Roman" w:hAnsi="Times New Roman" w:cs="Times New Roman"/>
          <w:sz w:val="24"/>
          <w:szCs w:val="24"/>
          <w:lang w:eastAsia="it-IT"/>
        </w:rPr>
        <w:t>Art. 3.</w:t>
      </w:r>
    </w:p>
    <w:p w:rsidR="002C5BC6" w:rsidRPr="002C5BC6" w:rsidRDefault="002C5BC6" w:rsidP="002C5BC6">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2C5BC6">
        <w:rPr>
          <w:rFonts w:ascii="Times New Roman" w:eastAsia="Times New Roman" w:hAnsi="Times New Roman" w:cs="Times New Roman"/>
          <w:i/>
          <w:iCs/>
          <w:sz w:val="24"/>
          <w:szCs w:val="24"/>
          <w:lang w:eastAsia="it-IT"/>
        </w:rPr>
        <w:t>(Professioni tecnico-sanitarie)</w:t>
      </w:r>
    </w:p>
    <w:p w:rsidR="002C5BC6" w:rsidRPr="002C5BC6" w:rsidRDefault="002C5BC6" w:rsidP="002C5BC6">
      <w:pPr>
        <w:spacing w:before="100" w:beforeAutospacing="1" w:after="100" w:afterAutospacing="1" w:line="240" w:lineRule="auto"/>
        <w:rPr>
          <w:rFonts w:ascii="Times New Roman" w:eastAsia="Times New Roman" w:hAnsi="Times New Roman" w:cs="Times New Roman"/>
          <w:sz w:val="24"/>
          <w:szCs w:val="24"/>
          <w:lang w:eastAsia="it-IT"/>
        </w:rPr>
      </w:pPr>
      <w:r w:rsidRPr="002C5BC6">
        <w:rPr>
          <w:rFonts w:ascii="Times New Roman" w:eastAsia="Times New Roman" w:hAnsi="Times New Roman" w:cs="Times New Roman"/>
          <w:sz w:val="24"/>
          <w:szCs w:val="24"/>
          <w:lang w:eastAsia="it-IT"/>
        </w:rPr>
        <w:t>    1. Gli operatori delle professioni sanitarie dell’area tecnico-diagnostica e dell’area tecnico-assistenziale svolgono, con autonomia professionale, le procedure tecniche necessarie alla esecuzione di metodiche diagnostiche su materiali biologici o sulla persona, ovvero attività tecnico-assistenziale, in attuazione di quanto previsto nei regolamenti concernenti l’individuazione delle figure e dei relativi profili professionali definiti con decreto del Ministro della sanità.</w:t>
      </w:r>
    </w:p>
    <w:p w:rsidR="002C5BC6" w:rsidRPr="002C5BC6" w:rsidRDefault="002C5BC6" w:rsidP="002C5BC6">
      <w:pPr>
        <w:spacing w:before="100" w:beforeAutospacing="1" w:after="100" w:afterAutospacing="1" w:line="240" w:lineRule="auto"/>
        <w:rPr>
          <w:rFonts w:ascii="Times New Roman" w:eastAsia="Times New Roman" w:hAnsi="Times New Roman" w:cs="Times New Roman"/>
          <w:sz w:val="24"/>
          <w:szCs w:val="24"/>
          <w:lang w:eastAsia="it-IT"/>
        </w:rPr>
      </w:pPr>
      <w:r w:rsidRPr="002C5BC6">
        <w:rPr>
          <w:rFonts w:ascii="Times New Roman" w:eastAsia="Times New Roman" w:hAnsi="Times New Roman" w:cs="Times New Roman"/>
          <w:sz w:val="24"/>
          <w:szCs w:val="24"/>
          <w:lang w:eastAsia="it-IT"/>
        </w:rPr>
        <w:t>    2. Lo Stato e le regioni promuovono, nell’esercizio delle proprie funzioni legislative, di indirizzo, di programmazione ed amministrative, lo sviluppo e la valorizzazione delle funzioni delle professioni sanitarie dell’area tecnico-sanitaria, al fine di contribuire, anche attraverso la diretta responsabilizzazione di funzioni organizzative e didattiche, al diritto alla salute del cittadino, al processo di aziendalizzazione e al miglioramento della qualità organizzativa e professionale nel Servizio sanitario nazionale con l’obiettivo di una integrazione omogenea con i servizi sanitari e gli ordinamenti degli altri Stati dell’Unione europea.</w:t>
      </w:r>
    </w:p>
    <w:p w:rsidR="002C5BC6" w:rsidRPr="002C5BC6" w:rsidRDefault="002C5BC6" w:rsidP="002C5BC6">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2C5BC6">
        <w:rPr>
          <w:rFonts w:ascii="Times New Roman" w:eastAsia="Times New Roman" w:hAnsi="Times New Roman" w:cs="Times New Roman"/>
          <w:sz w:val="24"/>
          <w:szCs w:val="24"/>
          <w:lang w:eastAsia="it-IT"/>
        </w:rPr>
        <w:t>Art. 4.</w:t>
      </w:r>
    </w:p>
    <w:p w:rsidR="002C5BC6" w:rsidRPr="002C5BC6" w:rsidRDefault="002C5BC6" w:rsidP="002C5BC6">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2C5BC6">
        <w:rPr>
          <w:rFonts w:ascii="Times New Roman" w:eastAsia="Times New Roman" w:hAnsi="Times New Roman" w:cs="Times New Roman"/>
          <w:i/>
          <w:iCs/>
          <w:sz w:val="24"/>
          <w:szCs w:val="24"/>
          <w:lang w:eastAsia="it-IT"/>
        </w:rPr>
        <w:t>(Professioni tecniche della prevenzione)</w:t>
      </w:r>
    </w:p>
    <w:p w:rsidR="002C5BC6" w:rsidRPr="002C5BC6" w:rsidRDefault="002C5BC6" w:rsidP="002C5BC6">
      <w:pPr>
        <w:spacing w:before="100" w:beforeAutospacing="1" w:after="100" w:afterAutospacing="1" w:line="240" w:lineRule="auto"/>
        <w:rPr>
          <w:rFonts w:ascii="Times New Roman" w:eastAsia="Times New Roman" w:hAnsi="Times New Roman" w:cs="Times New Roman"/>
          <w:sz w:val="24"/>
          <w:szCs w:val="24"/>
          <w:lang w:eastAsia="it-IT"/>
        </w:rPr>
      </w:pPr>
      <w:r w:rsidRPr="002C5BC6">
        <w:rPr>
          <w:rFonts w:ascii="Times New Roman" w:eastAsia="Times New Roman" w:hAnsi="Times New Roman" w:cs="Times New Roman"/>
          <w:sz w:val="24"/>
          <w:szCs w:val="24"/>
          <w:lang w:eastAsia="it-IT"/>
        </w:rPr>
        <w:t>    1. Gli operatori delle professioni tecniche della prevenzione svolgono con autonomia tecnico-professionale attività di prevenzione, verifica e controllo in materia di igiene e sicurezza ambientale nei luoghi di vita e di lavoro, di igiene degli alimenti e delle bevande, di igiene e sanità pubblica e veterinaria. Tali attività devono comunque svolgersi nell’ambito della responsabilità derivante dai profili professionali.</w:t>
      </w:r>
    </w:p>
    <w:p w:rsidR="002C5BC6" w:rsidRPr="002C5BC6" w:rsidRDefault="002C5BC6" w:rsidP="002C5BC6">
      <w:pPr>
        <w:spacing w:before="100" w:beforeAutospacing="1" w:after="100" w:afterAutospacing="1" w:line="240" w:lineRule="auto"/>
        <w:rPr>
          <w:rFonts w:ascii="Times New Roman" w:eastAsia="Times New Roman" w:hAnsi="Times New Roman" w:cs="Times New Roman"/>
          <w:sz w:val="24"/>
          <w:szCs w:val="24"/>
          <w:lang w:eastAsia="it-IT"/>
        </w:rPr>
      </w:pPr>
      <w:r w:rsidRPr="002C5BC6">
        <w:rPr>
          <w:rFonts w:ascii="Times New Roman" w:eastAsia="Times New Roman" w:hAnsi="Times New Roman" w:cs="Times New Roman"/>
          <w:sz w:val="24"/>
          <w:szCs w:val="24"/>
          <w:lang w:eastAsia="it-IT"/>
        </w:rPr>
        <w:t>    2. I Ministeri della sanità e dell’ambiente, previo parere della Conferenza permanente per i rapporti tra lo Stato, le regioni e le province autonome di Trento e di Bolzano, emanano linee guida per l’attribuzione in tutte le aziende sanitarie e nelle agenzie regionali per l’ambiente della diretta responsabilità e gestione delle attività di competenza delle professioni tecniche della prevenzione.</w:t>
      </w:r>
    </w:p>
    <w:p w:rsidR="002C5BC6" w:rsidRPr="002C5BC6" w:rsidRDefault="002C5BC6" w:rsidP="002C5BC6">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2C5BC6">
        <w:rPr>
          <w:rFonts w:ascii="Times New Roman" w:eastAsia="Times New Roman" w:hAnsi="Times New Roman" w:cs="Times New Roman"/>
          <w:sz w:val="24"/>
          <w:szCs w:val="24"/>
          <w:lang w:eastAsia="it-IT"/>
        </w:rPr>
        <w:t>Art. 5.</w:t>
      </w:r>
    </w:p>
    <w:p w:rsidR="002C5BC6" w:rsidRPr="002C5BC6" w:rsidRDefault="002C5BC6" w:rsidP="002C5BC6">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2C5BC6">
        <w:rPr>
          <w:rFonts w:ascii="Times New Roman" w:eastAsia="Times New Roman" w:hAnsi="Times New Roman" w:cs="Times New Roman"/>
          <w:i/>
          <w:iCs/>
          <w:sz w:val="24"/>
          <w:szCs w:val="24"/>
          <w:lang w:eastAsia="it-IT"/>
        </w:rPr>
        <w:t>(Formazione universitaria)</w:t>
      </w:r>
    </w:p>
    <w:p w:rsidR="002C5BC6" w:rsidRPr="002C5BC6" w:rsidRDefault="002C5BC6" w:rsidP="002C5BC6">
      <w:pPr>
        <w:spacing w:before="100" w:beforeAutospacing="1" w:after="100" w:afterAutospacing="1" w:line="240" w:lineRule="auto"/>
        <w:rPr>
          <w:rFonts w:ascii="Times New Roman" w:eastAsia="Times New Roman" w:hAnsi="Times New Roman" w:cs="Times New Roman"/>
          <w:sz w:val="24"/>
          <w:szCs w:val="24"/>
          <w:lang w:eastAsia="it-IT"/>
        </w:rPr>
      </w:pPr>
      <w:r w:rsidRPr="002C5BC6">
        <w:rPr>
          <w:rFonts w:ascii="Times New Roman" w:eastAsia="Times New Roman" w:hAnsi="Times New Roman" w:cs="Times New Roman"/>
          <w:sz w:val="24"/>
          <w:szCs w:val="24"/>
          <w:lang w:eastAsia="it-IT"/>
        </w:rPr>
        <w:t>    1. Il Ministro dell’università e della ricerca scientifica e tecnologica, di concerto con il Ministro della sanità, ai sensi e per gli effetti di cui all’articolo 17, comma 95, della legge 15 maggio 1997, n. 127, individua con uno o più decreti i criteri per la disciplina degli ordinamenti didattici di specifici corsi universitari ai quali possono accedere gli esercenti le professioni di cui agli articoli 1,2,3 e 4 della presente legge, in possesso di diploma universitario o di titolo equipollente per legge.</w:t>
      </w:r>
    </w:p>
    <w:p w:rsidR="002C5BC6" w:rsidRPr="002C5BC6" w:rsidRDefault="002C5BC6" w:rsidP="002C5BC6">
      <w:pPr>
        <w:spacing w:before="100" w:beforeAutospacing="1" w:after="100" w:afterAutospacing="1" w:line="240" w:lineRule="auto"/>
        <w:rPr>
          <w:rFonts w:ascii="Times New Roman" w:eastAsia="Times New Roman" w:hAnsi="Times New Roman" w:cs="Times New Roman"/>
          <w:sz w:val="24"/>
          <w:szCs w:val="24"/>
          <w:lang w:eastAsia="it-IT"/>
        </w:rPr>
      </w:pPr>
      <w:r w:rsidRPr="002C5BC6">
        <w:rPr>
          <w:rFonts w:ascii="Times New Roman" w:eastAsia="Times New Roman" w:hAnsi="Times New Roman" w:cs="Times New Roman"/>
          <w:sz w:val="24"/>
          <w:szCs w:val="24"/>
          <w:lang w:eastAsia="it-IT"/>
        </w:rPr>
        <w:lastRenderedPageBreak/>
        <w:t>    2. Le università nelle quali è attivata la scuola diretta a fini speciali per docenti e dirigenti di assistenza infermieristica sono autorizzate alla progressiva disattivazione della suddetta scuola contestualmente alla attivazione dei corsi universitari di cui al comma 1.</w:t>
      </w:r>
    </w:p>
    <w:p w:rsidR="002C5BC6" w:rsidRPr="002C5BC6" w:rsidRDefault="002C5BC6" w:rsidP="002C5BC6">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2C5BC6">
        <w:rPr>
          <w:rFonts w:ascii="Times New Roman" w:eastAsia="Times New Roman" w:hAnsi="Times New Roman" w:cs="Times New Roman"/>
          <w:sz w:val="24"/>
          <w:szCs w:val="24"/>
          <w:lang w:eastAsia="it-IT"/>
        </w:rPr>
        <w:t>Art. 6.</w:t>
      </w:r>
    </w:p>
    <w:p w:rsidR="002C5BC6" w:rsidRPr="002C5BC6" w:rsidRDefault="002C5BC6" w:rsidP="002C5BC6">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2C5BC6">
        <w:rPr>
          <w:rFonts w:ascii="Times New Roman" w:eastAsia="Times New Roman" w:hAnsi="Times New Roman" w:cs="Times New Roman"/>
          <w:i/>
          <w:iCs/>
          <w:sz w:val="24"/>
          <w:szCs w:val="24"/>
          <w:lang w:eastAsia="it-IT"/>
        </w:rPr>
        <w:t>(Definizione delle professioni e dei relativi livelli di inquadramento)</w:t>
      </w:r>
    </w:p>
    <w:p w:rsidR="002C5BC6" w:rsidRPr="002C5BC6" w:rsidRDefault="002C5BC6" w:rsidP="002C5BC6">
      <w:pPr>
        <w:spacing w:before="100" w:beforeAutospacing="1" w:after="100" w:afterAutospacing="1" w:line="240" w:lineRule="auto"/>
        <w:rPr>
          <w:rFonts w:ascii="Times New Roman" w:eastAsia="Times New Roman" w:hAnsi="Times New Roman" w:cs="Times New Roman"/>
          <w:sz w:val="24"/>
          <w:szCs w:val="24"/>
          <w:lang w:eastAsia="it-IT"/>
        </w:rPr>
      </w:pPr>
      <w:r w:rsidRPr="002C5BC6">
        <w:rPr>
          <w:rFonts w:ascii="Times New Roman" w:eastAsia="Times New Roman" w:hAnsi="Times New Roman" w:cs="Times New Roman"/>
          <w:sz w:val="24"/>
          <w:szCs w:val="24"/>
          <w:lang w:eastAsia="it-IT"/>
        </w:rPr>
        <w:t>    1. Il Ministro della sanità, di concerto con il Ministro dell’università e della ricerca scientifica e tecnologica, acquisiti i pareri del Consiglio superiore di sanità e del comitato di medicina del Consiglio universitario nazionale, include le diverse figure professionali esistenti o che saranno individuate successivamente in una delle fattispecie di cui agli articoli 1, 2, 3 e 4.</w:t>
      </w:r>
    </w:p>
    <w:p w:rsidR="002C5BC6" w:rsidRPr="002C5BC6" w:rsidRDefault="002C5BC6" w:rsidP="002C5BC6">
      <w:pPr>
        <w:spacing w:before="100" w:beforeAutospacing="1" w:after="100" w:afterAutospacing="1" w:line="240" w:lineRule="auto"/>
        <w:rPr>
          <w:rFonts w:ascii="Times New Roman" w:eastAsia="Times New Roman" w:hAnsi="Times New Roman" w:cs="Times New Roman"/>
          <w:sz w:val="24"/>
          <w:szCs w:val="24"/>
          <w:lang w:eastAsia="it-IT"/>
        </w:rPr>
      </w:pPr>
      <w:r w:rsidRPr="002C5BC6">
        <w:rPr>
          <w:rFonts w:ascii="Times New Roman" w:eastAsia="Times New Roman" w:hAnsi="Times New Roman" w:cs="Times New Roman"/>
          <w:sz w:val="24"/>
          <w:szCs w:val="24"/>
          <w:lang w:eastAsia="it-IT"/>
        </w:rPr>
        <w:t>    2. Il Governo, con atto regolamentare emanato ai sensi dell’articolo 18, comma 1, del decreto legislativo 30 dicembre 1992, n. 502, come sostituito dall’articolo 19 del decreto legislativo 7 dicembre 1993, n. 517, definisce la disciplina concorsuale, riservata al personale in possesso degli specifici diplomi rilasciati al termine dei corsi universitari di cui all’articolo 5, comma 1, della presente legge, per l’accesso ad una nuova qualifica unica di dirigente del ruolo sanitario, alla quale si accede con requisiti analoghi a quelli richiesti per l’accesso alla dirigenza del Servizio sanitario nazionale di cui all’articolo 26 del decreto legislativo 3 febbraio 1993, n. 29. Le regioni possono istituire la nuova qualifica di dirigente del ruolo sanitario nell’ambito del proprio bilancio, operando con modificazioni compensative delle piante organiche su proposta delle aziende sanitarie locali e delle aziende ospedaliere.</w:t>
      </w:r>
    </w:p>
    <w:p w:rsidR="002C5BC6" w:rsidRPr="002C5BC6" w:rsidRDefault="002C5BC6" w:rsidP="002C5BC6">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2C5BC6">
        <w:rPr>
          <w:rFonts w:ascii="Times New Roman" w:eastAsia="Times New Roman" w:hAnsi="Times New Roman" w:cs="Times New Roman"/>
          <w:sz w:val="24"/>
          <w:szCs w:val="24"/>
          <w:lang w:eastAsia="it-IT"/>
        </w:rPr>
        <w:t>Art. 7.</w:t>
      </w:r>
    </w:p>
    <w:p w:rsidR="002C5BC6" w:rsidRPr="002C5BC6" w:rsidRDefault="002C5BC6" w:rsidP="002C5BC6">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2C5BC6">
        <w:rPr>
          <w:rFonts w:ascii="Times New Roman" w:eastAsia="Times New Roman" w:hAnsi="Times New Roman" w:cs="Times New Roman"/>
          <w:i/>
          <w:iCs/>
          <w:sz w:val="24"/>
          <w:szCs w:val="24"/>
          <w:lang w:eastAsia="it-IT"/>
        </w:rPr>
        <w:t>(Disposizioni transitorie)</w:t>
      </w:r>
    </w:p>
    <w:p w:rsidR="002C5BC6" w:rsidRPr="002C5BC6" w:rsidRDefault="002C5BC6" w:rsidP="002C5BC6">
      <w:pPr>
        <w:spacing w:before="100" w:beforeAutospacing="1" w:after="100" w:afterAutospacing="1" w:line="240" w:lineRule="auto"/>
        <w:rPr>
          <w:rFonts w:ascii="Times New Roman" w:eastAsia="Times New Roman" w:hAnsi="Times New Roman" w:cs="Times New Roman"/>
          <w:sz w:val="24"/>
          <w:szCs w:val="24"/>
          <w:lang w:eastAsia="it-IT"/>
        </w:rPr>
      </w:pPr>
      <w:r w:rsidRPr="002C5BC6">
        <w:rPr>
          <w:rFonts w:ascii="Times New Roman" w:eastAsia="Times New Roman" w:hAnsi="Times New Roman" w:cs="Times New Roman"/>
          <w:sz w:val="24"/>
          <w:szCs w:val="24"/>
          <w:lang w:eastAsia="it-IT"/>
        </w:rPr>
        <w:t>    1. Al fine di migliorare l’assistenza e per la qualificazione delle risorse le aziende sanitarie possono istituire il servizio dell’assistenza infermieristica ed ostetrica e possono attribuire l’incarico di dirigente del medesimo servizio. Fino alla data del compimento dei corsi universitari di cui all’articolo 5 della presente legge l’incarico, di durata triennale rinnovabile, è regolato da contratti a tempo determinato, da stipulare, nel limite numerico indicato dall’articolo 15-</w:t>
      </w:r>
      <w:r w:rsidRPr="002C5BC6">
        <w:rPr>
          <w:rFonts w:ascii="Times New Roman" w:eastAsia="Times New Roman" w:hAnsi="Times New Roman" w:cs="Times New Roman"/>
          <w:i/>
          <w:iCs/>
          <w:sz w:val="24"/>
          <w:szCs w:val="24"/>
          <w:lang w:eastAsia="it-IT"/>
        </w:rPr>
        <w:t>septies,</w:t>
      </w:r>
      <w:r w:rsidRPr="002C5BC6">
        <w:rPr>
          <w:rFonts w:ascii="Times New Roman" w:eastAsia="Times New Roman" w:hAnsi="Times New Roman" w:cs="Times New Roman"/>
          <w:sz w:val="24"/>
          <w:szCs w:val="24"/>
          <w:lang w:eastAsia="it-IT"/>
        </w:rPr>
        <w:t xml:space="preserve"> comma 2, del decreto legislativo 30 dicembre 1992, n. 502, introdotto dall’articolo 13 del decreto legislativo 19 giugno 1999, n. 229, dal direttore generale con un appartenente alle professioni di cui all’articolo 1 della presente legge, attraverso idonea procedura selettiva tra i candidati in possesso di requisiti di esperienza e qualificazione professionale predeterminati. Gli incarichi di cui al presente articolo comportano l’obbligo per l’azienda di sopprimere un numero pari di posti di dirigente sanitario nella dotazione organica definita ai sensi della normativa vigente. Per i dipendenti delle amministrazioni pubbliche si applicano le disposizioni del comma 4 del citato articolo 15-</w:t>
      </w:r>
      <w:r w:rsidRPr="002C5BC6">
        <w:rPr>
          <w:rFonts w:ascii="Times New Roman" w:eastAsia="Times New Roman" w:hAnsi="Times New Roman" w:cs="Times New Roman"/>
          <w:i/>
          <w:iCs/>
          <w:sz w:val="24"/>
          <w:szCs w:val="24"/>
          <w:lang w:eastAsia="it-IT"/>
        </w:rPr>
        <w:t xml:space="preserve">septies. </w:t>
      </w:r>
      <w:r w:rsidRPr="002C5BC6">
        <w:rPr>
          <w:rFonts w:ascii="Times New Roman" w:eastAsia="Times New Roman" w:hAnsi="Times New Roman" w:cs="Times New Roman"/>
          <w:sz w:val="24"/>
          <w:szCs w:val="24"/>
          <w:lang w:eastAsia="it-IT"/>
        </w:rPr>
        <w:t>Con specifico atto d’indirizzo del Comitato di settore per il comparto sanità sono emanate le direttive all’Agenzia per la rappresentanza negoziale delle pubbliche amministrazioni (ARAN) per la definizione, nell’ambito del contratto collettivo nazionale dell’area della dirigenza dei ruoli sanitario, amministrativo, tecnico e professionale del Servizio sanitario nazionale, del trattamento economico dei dirigenti nominati ai sensi del presente comma nonchè delle modalità di conferimento, revoca e verifica dell’incarico.</w:t>
      </w:r>
    </w:p>
    <w:p w:rsidR="002C5BC6" w:rsidRPr="002C5BC6" w:rsidRDefault="002C5BC6" w:rsidP="002C5BC6">
      <w:pPr>
        <w:spacing w:before="100" w:beforeAutospacing="1" w:after="100" w:afterAutospacing="1" w:line="240" w:lineRule="auto"/>
        <w:rPr>
          <w:rFonts w:ascii="Times New Roman" w:eastAsia="Times New Roman" w:hAnsi="Times New Roman" w:cs="Times New Roman"/>
          <w:sz w:val="24"/>
          <w:szCs w:val="24"/>
          <w:lang w:eastAsia="it-IT"/>
        </w:rPr>
      </w:pPr>
      <w:r w:rsidRPr="002C5BC6">
        <w:rPr>
          <w:rFonts w:ascii="Times New Roman" w:eastAsia="Times New Roman" w:hAnsi="Times New Roman" w:cs="Times New Roman"/>
          <w:sz w:val="24"/>
          <w:szCs w:val="24"/>
          <w:lang w:eastAsia="it-IT"/>
        </w:rPr>
        <w:t>    2. Le aziende sanitarie possono conferire incarichi di dirigente, con modalità analoghe a quelle previste al comma 1, per le professioni sanitarie di cui alla legge 26 febbraio 1999, n. 42, nelle regioni nelle quali sono emanate norme per l’attribuzione della funzione di direzione relativa alle attività della specifica area professionale.</w:t>
      </w:r>
      <w:r w:rsidRPr="002C5BC6">
        <w:rPr>
          <w:rFonts w:ascii="Times New Roman" w:eastAsia="Times New Roman" w:hAnsi="Times New Roman" w:cs="Times New Roman"/>
          <w:sz w:val="24"/>
          <w:szCs w:val="24"/>
          <w:lang w:eastAsia="it-IT"/>
        </w:rPr>
        <w:br/>
      </w:r>
      <w:r w:rsidRPr="002C5BC6">
        <w:rPr>
          <w:rFonts w:ascii="Times New Roman" w:eastAsia="Times New Roman" w:hAnsi="Times New Roman" w:cs="Times New Roman"/>
          <w:sz w:val="24"/>
          <w:szCs w:val="24"/>
          <w:lang w:eastAsia="it-IT"/>
        </w:rPr>
        <w:lastRenderedPageBreak/>
        <w:t>    3. La legge regionale che disciplina l’attività e la composizione del Collegio di direzione di cui all’articolo 17 del decreto legislativo 30 dicembre 1992, n. 502, e successive modificazioni, prevede la partecipazione al medesimo Collegio dei dirigenti aziendali di cui ai commi 1 e 2 del presente articolo.</w:t>
      </w:r>
    </w:p>
    <w:p w:rsidR="00D73A3C" w:rsidRDefault="00D73A3C"/>
    <w:sectPr w:rsidR="00D73A3C" w:rsidSect="00D73A3C">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283"/>
  <w:characterSpacingControl w:val="doNotCompress"/>
  <w:compat/>
  <w:rsids>
    <w:rsidRoot w:val="002C5BC6"/>
    <w:rsid w:val="002C5BC6"/>
    <w:rsid w:val="00D73A3C"/>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D73A3C"/>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2C5BC6"/>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styleId="Enfasicorsivo">
    <w:name w:val="Emphasis"/>
    <w:basedOn w:val="Carpredefinitoparagrafo"/>
    <w:uiPriority w:val="20"/>
    <w:qFormat/>
    <w:rsid w:val="002C5BC6"/>
    <w:rPr>
      <w:i/>
      <w:iCs/>
    </w:rPr>
  </w:style>
  <w:style w:type="paragraph" w:styleId="Testofumetto">
    <w:name w:val="Balloon Text"/>
    <w:basedOn w:val="Normale"/>
    <w:link w:val="TestofumettoCarattere"/>
    <w:uiPriority w:val="99"/>
    <w:semiHidden/>
    <w:unhideWhenUsed/>
    <w:rsid w:val="002C5BC6"/>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2C5BC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931626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gif"/><Relationship Id="rId3" Type="http://schemas.openxmlformats.org/officeDocument/2006/relationships/webSettings" Target="webSettings.xml"/><Relationship Id="rId7" Type="http://schemas.openxmlformats.org/officeDocument/2006/relationships/hyperlink" Target="http://www.parlamento.it/leggi/home.ht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gif"/><Relationship Id="rId5" Type="http://schemas.openxmlformats.org/officeDocument/2006/relationships/hyperlink" Target="http://www.parlamento.it/leggi/home.htm" TargetMode="External"/><Relationship Id="rId10" Type="http://schemas.openxmlformats.org/officeDocument/2006/relationships/theme" Target="theme/theme1.xml"/><Relationship Id="rId4" Type="http://schemas.openxmlformats.org/officeDocument/2006/relationships/image" Target="media/image1.gif"/><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1447</Words>
  <Characters>8250</Characters>
  <Application>Microsoft Office Word</Application>
  <DocSecurity>0</DocSecurity>
  <Lines>68</Lines>
  <Paragraphs>19</Paragraphs>
  <ScaleCrop>false</ScaleCrop>
  <Company> </Company>
  <LinksUpToDate>false</LinksUpToDate>
  <CharactersWithSpaces>9678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Sergio</dc:creator>
  <cp:keywords/>
  <dc:description/>
  <cp:lastModifiedBy>Sergio</cp:lastModifiedBy>
  <cp:revision>1</cp:revision>
  <dcterms:created xsi:type="dcterms:W3CDTF">2008-09-11T07:14:00Z</dcterms:created>
  <dcterms:modified xsi:type="dcterms:W3CDTF">2008-09-11T07:14:00Z</dcterms:modified>
</cp:coreProperties>
</file>